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397"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145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397" w:firstLine="567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0067-01-2023-007181-07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397" w:firstLine="567"/>
        <w:jc w:val="center"/>
        <w:rPr>
          <w:sz w:val="28"/>
          <w:szCs w:val="28"/>
        </w:rPr>
      </w:pPr>
    </w:p>
    <w:p>
      <w:pPr>
        <w:spacing w:before="0" w:after="0"/>
        <w:ind w:right="397"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397" w:firstLine="567"/>
        <w:jc w:val="center"/>
        <w:rPr>
          <w:sz w:val="28"/>
          <w:szCs w:val="28"/>
        </w:rPr>
      </w:pPr>
    </w:p>
    <w:p>
      <w:pPr>
        <w:spacing w:before="0" w:after="0"/>
        <w:ind w:right="39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397" w:firstLine="567"/>
        <w:jc w:val="both"/>
        <w:rPr>
          <w:sz w:val="28"/>
          <w:szCs w:val="28"/>
        </w:rPr>
      </w:pPr>
    </w:p>
    <w:p>
      <w:pPr>
        <w:spacing w:before="0" w:after="0"/>
        <w:ind w:right="39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ивная часть оглашена </w:t>
      </w: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</w:p>
    <w:p>
      <w:pPr>
        <w:spacing w:before="0" w:after="0"/>
        <w:ind w:right="397" w:firstLine="567"/>
        <w:jc w:val="both"/>
        <w:rPr>
          <w:sz w:val="28"/>
          <w:szCs w:val="28"/>
        </w:rPr>
      </w:pPr>
    </w:p>
    <w:p>
      <w:pPr>
        <w:spacing w:before="0" w:after="0"/>
        <w:ind w:right="39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д.9, каб.402, </w:t>
      </w:r>
    </w:p>
    <w:p>
      <w:pPr>
        <w:spacing w:before="0" w:after="0"/>
        <w:ind w:right="39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стием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Малютина </w:t>
      </w:r>
      <w:r>
        <w:rPr>
          <w:rStyle w:val="cat-UserDefinedgrp-8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группы организации охраны объектов подлежащих обязательной охране Сургутского межмуниципального отдела вневедомственной охраны –филиала федерального государственного казённого учреждения «Управление вневедомственной охраны войск национальной гвардии РФ про ХМАО-Югре» </w:t>
      </w:r>
      <w:r>
        <w:rPr>
          <w:rFonts w:ascii="Times New Roman" w:eastAsia="Times New Roman" w:hAnsi="Times New Roman" w:cs="Times New Roman"/>
          <w:sz w:val="28"/>
          <w:szCs w:val="28"/>
        </w:rPr>
        <w:t>Жарникова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инспектора группы организации охраны объектов подлежащих обязательной охране Сургутского межмуниципального отдела вневедомственной охраны –филиала федерального государственного казённого учреждения «Управление вневедомственной охраны войск национальной гвардии РФ про ХМАО-Югре»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Кондратьевой </w:t>
      </w:r>
      <w:r>
        <w:rPr>
          <w:rStyle w:val="cat-UserDefinedgrp-83rplc-1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39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ст.20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35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39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8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гражданки РФ, проживающей по адресу: ХМАО-Югра</w:t>
      </w:r>
      <w:r>
        <w:rPr>
          <w:rStyle w:val="cat-UserDefinedgrp-86rplc-2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397"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right="22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17.08.2023 года инспектором ГООО ПОО Сургутского МОВО - филиала ФГКУ «УВО ВНГ России по Ханты-Мансийскому автономному округу-Югре» в ходе проведения проверки на соответствие требованиям антитеррористической защищенности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филиале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г. Сургут, ул. Энергетиков, д.15/1, требования 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07.11.2019 № 1421 «Об утверждении требований 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(территорий)» (далее </w:t>
      </w:r>
      <w:r>
        <w:rPr>
          <w:rFonts w:ascii="Times New Roman" w:eastAsia="Times New Roman" w:hAnsi="Times New Roman" w:cs="Times New Roman"/>
          <w:sz w:val="28"/>
          <w:szCs w:val="28"/>
        </w:rPr>
        <w:t>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1421)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соблюдаются не в полном объеме.</w:t>
      </w:r>
    </w:p>
    <w:p>
      <w:pPr>
        <w:spacing w:before="0" w:after="0"/>
        <w:ind w:right="22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камера видеонаблюдения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установленная на критическом элементе объекта (</w:t>
      </w:r>
      <w:r>
        <w:rPr>
          <w:rFonts w:ascii="Times New Roman" w:eastAsia="Times New Roman" w:hAnsi="Times New Roman" w:cs="Times New Roman"/>
          <w:sz w:val="28"/>
          <w:szCs w:val="28"/>
        </w:rPr>
        <w:t>электрощитовая</w:t>
      </w:r>
      <w:r>
        <w:rPr>
          <w:rFonts w:ascii="Times New Roman" w:eastAsia="Times New Roman" w:hAnsi="Times New Roman" w:cs="Times New Roman"/>
          <w:sz w:val="28"/>
          <w:szCs w:val="28"/>
        </w:rPr>
        <w:t>), не обеспечивала непрерывное видеонаблюдение, а именно изображение не отображается на мониторе системы видеонаблюдения, установленного на посту охраны, а также на пост охраны выводится непрерывное изображение лишь 19 камер видеонаблюдения, из 50 входящих в систему видеонаблюдения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нарушены подп. </w:t>
      </w:r>
      <w:r>
        <w:rPr>
          <w:rFonts w:ascii="Times New Roman" w:eastAsia="Times New Roman" w:hAnsi="Times New Roman" w:cs="Times New Roman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22, подп. </w:t>
      </w:r>
      <w:r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23, п.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№ 1421, что ведет к существенному снижению уровня антитеррористической защищенности объекта и, в случае совершения (попыток совершения) на территории объекта противоправных посягательств, в том числе террористической направленности, могут повлечь значительное количество пострадавших лиц.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Датой правонарушения является дата выявления правонарушения.</w:t>
      </w:r>
    </w:p>
    <w:p>
      <w:pPr>
        <w:spacing w:before="0" w:after="0"/>
        <w:ind w:right="22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не признала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пояснила,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04.08.2023 был издан приказ о создании комиссии по обследованию и категорированию Сургутского финансово-экономического колледжа, в состав которой включен представитель Сургутского МОВО – филиала ФГКУ «УВО ВНГ» России по ХМАО-Югре,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для обследования и категорирования места массового пребывания людей, а также для участия в комиссии, определяющей готовность образовательного учреждения к новому учебном году.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3.34 Национального стандарта Российской Федерации ГОСТ Р 51558-2014 «Средства и системы охранные и телевизионные»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или технических средств управления, осуществляющих обмен между собой. То есть понятие «система видеонаблюдения» не включает в себя наличие человека, п. 33 Постановления Правительства № 1421 не предполагает выведение на пост охраны (монитор) изображений со всех установленных камер. Кроме того, на таком критическом объекте как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электрощитовая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камера видеонаблюдения установлена, однако надобности выведения изображения на монитор в этой видеокамеры не имеется,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электрощитовая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позади поста охраны, то есть рядом.</w:t>
      </w:r>
    </w:p>
    <w:p>
      <w:pPr>
        <w:spacing w:before="0" w:after="0"/>
        <w:ind w:right="22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 не был согласован перечень необходимых мероприятий и срок устранения выявленных в ходе обследования и категорирования объекта Сург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читает, что инспектор должен был оказать содействие в выявлении несоответствий на объекте нормам закона, а не привлекать ее к административной ответственности. </w:t>
      </w:r>
    </w:p>
    <w:p>
      <w:pPr>
        <w:spacing w:before="0" w:after="0"/>
        <w:ind w:right="22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Малютин </w:t>
      </w:r>
      <w:r>
        <w:rPr>
          <w:rStyle w:val="cat-UserDefinedgrp-8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 прекратить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в ее действиях состава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поддержав изложенные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 организации охраны объектов подлежащих обязательной охране Сургутского межмуниципального отдела вневедомственной охраны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филиала федерального государственного казённого учреждения «Управление вневедомственной охраны войск национальной гвардии РФ про ХМАО-Югре» в судебном заседании поддержали инкриминируемое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деяние.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в совершении правонарушения суду представлены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копиях)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 от 23.08.2023 г.;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приеме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 от 29.09.2022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 договор № 26ф от 26.09.2022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2-7)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Сургутского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л.д.8-17)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 об антитеррористической безопасности в 2023/2024 учебном году от 08.07.2023 № 65/0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-экономическом колледже – филиале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28-42)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приказа о создании комиссии по обследованию и категорированию Сургутского финансово-экономического колледжа – филиала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бюджетного учреждения высшего образования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04.08.2023 № 72/о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72/о)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обследования и категорирования объекта Сургутского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(ул. Энергетиков, д. 15/1) </w:t>
      </w:r>
      <w:r>
        <w:rPr>
          <w:rFonts w:ascii="Times New Roman" w:eastAsia="Times New Roman" w:hAnsi="Times New Roman" w:cs="Times New Roman"/>
          <w:sz w:val="28"/>
          <w:szCs w:val="28"/>
        </w:rPr>
        <w:t>от 18.08.2023 № 01-ДСП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49-58)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 инспектора ГООО ПОО Сургутского МОВО - филиала ФГКУ «УВО ВНГ России по Ханты-Мансийскому автономному округу-Югре» </w:t>
      </w:r>
      <w:r>
        <w:rPr>
          <w:rFonts w:ascii="Times New Roman" w:eastAsia="Times New Roman" w:hAnsi="Times New Roman" w:cs="Times New Roman"/>
          <w:sz w:val="28"/>
          <w:szCs w:val="28"/>
        </w:rPr>
        <w:t>Жарникова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2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17.08.2023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59)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утвержденный директором 22</w:t>
      </w:r>
      <w:r>
        <w:rPr>
          <w:rFonts w:ascii="Times New Roman" w:eastAsia="Times New Roman" w:hAnsi="Times New Roman" w:cs="Times New Roman"/>
          <w:sz w:val="28"/>
          <w:szCs w:val="28"/>
        </w:rPr>
        <w:t>.11.2021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63-78)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диск с видеозаписью фиксации отображений на мониторе поста охраны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125).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участников процесса, изучив материалы дела, суд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законодательства Российской Федерации в области противодействия терроризму в соответствии с имеющимися полномочиями осуществляют контроль за выполнением требований к антитеррористической защищенности объектов, подлежащих обязательной охране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войсками национальной гвардии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(за исключением объектов топливно-энергетического комплекса, транспорта и транспортной инфраструктуры), а также в составе межведомственных комиссий участвуют в контроле за выполнением требований к антитеррористической защищенности ММПЛ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(мест массового пребывания людей)</w:t>
      </w:r>
      <w:r>
        <w:rPr>
          <w:rFonts w:ascii="Times New Roman" w:eastAsia="Times New Roman" w:hAnsi="Times New Roman" w:cs="Times New Roman"/>
          <w:sz w:val="28"/>
          <w:szCs w:val="28"/>
        </w:rPr>
        <w:t>, объектов 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водоснабжения и водоотведения, а также объектов Минфина России, подведомственных ему организаций и организаций, относящихся к сфере деятельности Минфина России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Р 075-2023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"Участие подразделений вневедомственной охраны войск национальной гвардии Российской Федерации в мероприятиях по антитеррористической защищенности объектов различной ведомственной принадлежности"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утв. ФКУ "Научно-исследовательский центр "Охрана" </w:t>
      </w:r>
      <w:r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r>
        <w:rPr>
          <w:rFonts w:ascii="Times New Roman" w:eastAsia="Times New Roman" w:hAnsi="Times New Roman" w:cs="Times New Roman"/>
          <w:sz w:val="28"/>
          <w:szCs w:val="28"/>
        </w:rPr>
        <w:t>, 2023 г.).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п.5 ч. 1 ст. 9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 июля 2016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"О войсках национальной гвардии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Войска национальной гвардии наделены 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по делам об административных правонарушениях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103 части 2 статьи 28.3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 вправе составлять 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войск национальной гвардии Российской Федерации - об административных правонарушениях,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ст. 20.35 КоАП РФ.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1 ч. 1 ст. 28.1 КоАП РФ п</w:t>
      </w:r>
      <w:r>
        <w:rPr>
          <w:rFonts w:ascii="Times New Roman" w:eastAsia="Times New Roman" w:hAnsi="Times New Roman" w:cs="Times New Roman"/>
          <w:sz w:val="28"/>
          <w:szCs w:val="28"/>
        </w:rPr>
        <w:t>оводами к возбуждению дела об административном правонарушении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Вышеизложенные нормы свидетельствуют о составлении протокола об административном правонарушении уполномоченным должностным лицом.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 утверждены Постановлением Правительства РФ от 7 ноября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 (далее по тексту Требования к антитеррористической защищенности объектов).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антитеррористической защищенности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>воспрепятствование неправомерному проникновению на объекты (территории) достигается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обеспечения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режимов, контроля за их функционированием; своевременного выявления, предупреждения и пресечения действий лиц, направленных на совершение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оснащения при необходимости объектов (территорий) инженерно-техническими средствами и системами охраны и (или) обеспечения охраны объектов (территорий) охранными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ыявление потенциальных нарушителей установленных на объекте (территории)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и (или) признаков подготовки или совершения террористического акта достигается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выявления фактов нарушения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режимов, проноса и провоза запрещенных предметов (радиоактивных, взрывчатых отравляющих веществ, оружия, боеприпасов, наркотических и других опасных предметов и веществ) на объекте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(территории);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обеспечения пропускного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, контроля за их функционированием;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поддержании в исправном состоянии инженерно-технических средств и систем охраны, оснащения бесперебойной и устойчивой связью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«а, б, е» п.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к антитеррористической защищенности объектов).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33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к антитеррористической защищенности 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видеонаблюдения с учетом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1 месяца. 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потенциально опасные участки и критические элементы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находится под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потенциально опасных участках и (или) критических элементах объекта (территории) должны содержаться в паспорте безопасности объекта (территории), форма которого утверждена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anchor="/document/72979284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7 ноября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1421.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паспорту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Сургутского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согласованному должностными лицами РУФСБ России по Тюменско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 отдела СХМАО, ГУ МЧС по ХМАО-Югре и Сургутского МОВО – филиала ФГКУ «УВО ВНГ России по ХМАО-Югре»,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опасные участки объекта отсутствуют, критическими элементами объекта являются аудитории, фойе, коридоры в здании филиала,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электрощитовая</w:t>
      </w:r>
      <w:r>
        <w:rPr>
          <w:rFonts w:ascii="Times New Roman" w:eastAsia="Times New Roman" w:hAnsi="Times New Roman" w:cs="Times New Roman"/>
          <w:sz w:val="28"/>
          <w:szCs w:val="28"/>
        </w:rPr>
        <w:t>, тепловой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такой критический объект как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электрощитовая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находится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непрерывным видеонаблюдением,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дела, видеозапись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лицом, привлекаемым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оспаривается. 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аудитории и фойе, являющиеся критическими элементами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находятся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непрерывным наблюдением, что следует из акта о результатах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18.08.2023</w:t>
      </w:r>
      <w:r>
        <w:rPr>
          <w:rFonts w:ascii="Times New Roman" w:eastAsia="Times New Roman" w:hAnsi="Times New Roman" w:cs="Times New Roman"/>
          <w:sz w:val="28"/>
          <w:szCs w:val="28"/>
        </w:rPr>
        <w:t>, где в пункте 2.3.5 указано, что зона охвата видеонаблюдения: внешняя территории по периметру объекта, перед основными въездными ворот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ами, внутренние коридоры здания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55).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 пятидесяти имеющихся на объекте видеокамер, на мониторе охраны поста изображение выводится только с девятнадцати видеокамер, что также следует из акта от 18.08.2023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57)</w:t>
      </w:r>
      <w:r>
        <w:rPr>
          <w:rFonts w:ascii="Times New Roman" w:eastAsia="Times New Roman" w:hAnsi="Times New Roman" w:cs="Times New Roman"/>
          <w:sz w:val="28"/>
          <w:szCs w:val="28"/>
        </w:rPr>
        <w:t>, 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125)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ГООО ПОО Сургутского МОВО - филиала ФГКУ «УВО ВНГ России по Ханты-Мансийскому автономному округу-Югре» </w:t>
      </w:r>
      <w:r>
        <w:rPr>
          <w:rFonts w:ascii="Times New Roman" w:eastAsia="Times New Roman" w:hAnsi="Times New Roman" w:cs="Times New Roman"/>
          <w:sz w:val="28"/>
          <w:szCs w:val="28"/>
        </w:rPr>
        <w:t>Жарникова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 от 17.08.2023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59)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Такой довод защиты, как 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электрощитовой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рядом с постом охраны не исключает обязанность непр</w:t>
      </w:r>
      <w:r>
        <w:rPr>
          <w:rFonts w:ascii="Times New Roman" w:eastAsia="Times New Roman" w:hAnsi="Times New Roman" w:cs="Times New Roman"/>
          <w:sz w:val="28"/>
          <w:szCs w:val="28"/>
        </w:rPr>
        <w:t>ерывного видеонаблюдения за 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3.34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Национального стандарта,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ГОСТ Р 51558-2014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«Средства и системы охранные телевизионный» Классификация. Общие технические требования. Методы испытаний" (утв. и введен в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70808424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от 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октября 2014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1371-ст)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который ссылается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раскрывается понятие системы, при этом система видеонаблюдения и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видеонаблюдение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равнозначными терминами</w:t>
      </w:r>
      <w:r>
        <w:rPr>
          <w:rFonts w:ascii="Times New Roman" w:eastAsia="Times New Roman" w:hAnsi="Times New Roman" w:cs="Times New Roman"/>
          <w:sz w:val="28"/>
          <w:szCs w:val="28"/>
        </w:rPr>
        <w:t>. Исходя из вышеназванного п. 3.34, система видеонаблюдения (</w:t>
      </w:r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surveillance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r>
        <w:rPr>
          <w:rFonts w:ascii="Times New Roman" w:eastAsia="Times New Roman" w:hAnsi="Times New Roman" w:cs="Times New Roman"/>
          <w:sz w:val="28"/>
          <w:szCs w:val="28"/>
        </w:rPr>
        <w:t>, VSS)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овокупность функционирующих видеоканалов, программных и технических средств записи и хранения видеоданных, а также программных и/или технических средств управления, осуществляющих информационный обмен между собой. 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eastAsia="Times New Roman" w:hAnsi="Times New Roman" w:cs="Times New Roman"/>
          <w:sz w:val="28"/>
          <w:szCs w:val="28"/>
        </w:rPr>
        <w:t>термин «</w:t>
      </w:r>
      <w:r>
        <w:rPr>
          <w:rFonts w:ascii="Times New Roman" w:eastAsia="Times New Roman" w:hAnsi="Times New Roman" w:cs="Times New Roman"/>
          <w:sz w:val="28"/>
          <w:szCs w:val="28"/>
        </w:rPr>
        <w:t>видеонаблю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процесс, осуществляемый с применением оптико-электронных устройств, предназначенных для визуального контроля или автоматического ана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2.4.15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Национального стандарта РФ ГОСТ Р 52551-2016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"Системы охраны и безопасности. Термины и определения"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(утв. и введен в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71576562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от 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ноября 2016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1743-ст) дает понятие термину </w:t>
      </w:r>
      <w:r>
        <w:rPr>
          <w:rFonts w:ascii="Times New Roman" w:eastAsia="Times New Roman" w:hAnsi="Times New Roman" w:cs="Times New Roman"/>
          <w:sz w:val="28"/>
          <w:szCs w:val="28"/>
        </w:rPr>
        <w:t>видеонаблюдение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четкое изображение в пределах установленных зон при заданных уровнях освещенности и ожидаемых производственных помехах.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передаваемо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видеокамер на монитор поста охраны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непрерывного видеонаблюдения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данном </w:t>
      </w:r>
      <w:r>
        <w:rPr>
          <w:rFonts w:ascii="Times New Roman" w:eastAsia="Times New Roman" w:hAnsi="Times New Roman" w:cs="Times New Roman"/>
          <w:sz w:val="28"/>
          <w:szCs w:val="28"/>
        </w:rPr>
        <w:t>случае критических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объекта (территории).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7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нашла свое подтверждение.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согласно протоколу об административном правонарушении, в ходе проведения проверки системы хранения и архивирования данных, поступающих с камер видеонаблюдения, установлено, что архивирование и хранение данных в течении 1 месяца обеспечено не по всей системе видеонаблюдения, а именно часть уличных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камер </w:t>
      </w:r>
      <w:r>
        <w:rPr>
          <w:rFonts w:ascii="Times New Roman" w:eastAsia="Times New Roman" w:hAnsi="Times New Roman" w:cs="Times New Roman"/>
          <w:sz w:val="28"/>
          <w:szCs w:val="28"/>
        </w:rPr>
        <w:t>и камеры, осуществляющие контроль критического элемента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(</w:t>
      </w:r>
      <w:r>
        <w:rPr>
          <w:rFonts w:ascii="Times New Roman" w:eastAsia="Times New Roman" w:hAnsi="Times New Roman" w:cs="Times New Roman"/>
          <w:sz w:val="28"/>
          <w:szCs w:val="28"/>
        </w:rPr>
        <w:t>теплоузел</w:t>
      </w:r>
      <w:r>
        <w:rPr>
          <w:rFonts w:ascii="Times New Roman" w:eastAsia="Times New Roman" w:hAnsi="Times New Roman" w:cs="Times New Roman"/>
          <w:sz w:val="28"/>
          <w:szCs w:val="28"/>
        </w:rPr>
        <w:t>), имеют срок архивации и хранения данных на момент проверки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суток, кроме того в 2021 произведена закупка системы контроля и управления доступом, стационарной </w:t>
      </w:r>
      <w:r>
        <w:rPr>
          <w:rFonts w:ascii="Times New Roman" w:eastAsia="Times New Roman" w:hAnsi="Times New Roman" w:cs="Times New Roman"/>
          <w:sz w:val="28"/>
          <w:szCs w:val="28"/>
        </w:rPr>
        <w:t>металлорамки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системы оповещения-3 типа, однако в нарушение пунктов 53-55, 11 Постановления Правительства № 1421, актуализация паспорта безопасности не произведена, что инкриминируется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ицу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8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паспорта безопасности объекта (территории) осуществляется не реже 1 раза в 5 лет, а также при изменении: в </w:t>
      </w:r>
      <w:r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инженерно-технической защите объекта (территории) (подпункт Д пункта 53 Постановления Правительства № 1421)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55 Актуализация паспорта безопасности объекта (территории) осуществляется в порядке, установленном </w:t>
      </w:r>
      <w:hyperlink r:id="rId4" w:anchor="/document/72979284/entry/1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 Постановления Правительства № 1421.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11 Постановления Правительства № 1421 Для проведения категорирования объекта (территории) по решению руководителя органа (организации), являющегося правообладателем объекта (территории), создается комиссия по обследованию и категорированию объекта (территории) (далее - комиссия) в течение месяца после принятия решения о включении объекта (территории) в перечень объектов (территорий) Министерства науки и высшего образования Российской Федерации и подведомственных ему организаций, подлежащих категорированию в целях их антитеррористической защищенности, либо после получения уведомления о включении объекта (территории) в перечень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субъекта Российской Федерации и подлежащих категорированию в целях их антитеррористической защищенности, а также в случае актуализации паспорта безопасности объекта (территории).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вышеизложенных норм,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хранени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видеонаблю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1 месяц, кроме того, в случае актуализации паспорта безопасности создается комиссия в течение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изменении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инженерно-технической защите объекта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мировой судья полагает необходимым исключить из объема вмененного правонарушения, изложенного в протоколе об административном правонарушении относительно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сроков архивирования и нарушения сроков актуализации паспорта, необходимого вследствие изменения мер по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инженерно-технической защите объекта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 следующего.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такие документы как Акт об обнаружении неисправности в системе видеонаблюдения № 2 от 14 июня 2023, которым установлено,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обнаружено сгорание платы электроники жесткого диска (одного из накопителей), в связи с чем необходимо списание жесткого диска и заменить оборудование на аналогичное и Акт ввода в эксплуатацию оборудования № 3 от 26 июля 2023 г., согласно которому, в связи с выявленными 14 июня 2023 неисправностями в системе видеонаблюдения и закупкой новых накопителей для видеорегистраторов системы видеонаблюдения ввести в эксплуатацию следующие накопители: жесткие диски, переключить на данные накопители, следующие камеры, в соответствии с требованиями записи и архивирования (30 суток) камеры 25,22,09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235, 236)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договор поставки № 23 от 30 июня 2023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231-233)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из-за замены 26 июля 2023 года жестких дисков, на момент проверки 17 августа 2023 года срок архивации составил меньше 30 суток (22 суток).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 установлено в ходе рассмотрения дела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сроков актуализации паспорта.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исследованы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(копии): инвентарная карточка учета нефинансовых активов № 2021/20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95,96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20 на поставку оборудования СОУЭ (система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оповещения и управления эвакуацией) в экстренных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нужд Сургутского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 декабря 2021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97-110);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7 на поставку турникета для нужд Сургутского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 декабря 2021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111-120)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от 10 января 2023 № 27/о «О внедрении системы контроля и управления доступом (СКУД)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филиале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согласно которому приказано протестировать систему контроля управления доступом (СКУД) в срок до 31.08.2023, внедрить систему контроля управления доступом (СКУД) в филиале до 01.09.2023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139,140)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гарантийное письмо ООО «</w:t>
      </w:r>
      <w:r>
        <w:rPr>
          <w:rFonts w:ascii="Times New Roman" w:eastAsia="Times New Roman" w:hAnsi="Times New Roman" w:cs="Times New Roman"/>
          <w:sz w:val="28"/>
          <w:szCs w:val="28"/>
        </w:rPr>
        <w:t>Технолоджик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об установке СКУД не позднее 30.11.2022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141)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гарантийное письмо ООО «Бета» (том 2 </w:t>
      </w:r>
      <w:r>
        <w:rPr>
          <w:rFonts w:ascii="Times New Roman" w:eastAsia="Times New Roman" w:hAnsi="Times New Roman" w:cs="Times New Roman"/>
          <w:sz w:val="28"/>
          <w:szCs w:val="28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</w:rPr>
        <w:t>. 143)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№ 26/о от 10 января 2023 «О проверке работоспособности и внедрении СОУЭ в экстренных случаях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филиале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приказано внедрить СОУЭ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01.09.2023; отчет об исполнении плана внутреннего контроля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филиале за 2023,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на 31.01.2023 установлена СОУЭ, 30.06.2023 проверена работоспособность, 03.08.2023 осуществлено внедрение СОУЭ; проверка работоспособности СКУД и внедрение осуществлено 03.08.2023.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3.28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ГОСТ Р 51241-2008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"Средства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и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доступом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Классификация. Общие технические требования.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Методы испытаний"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(утв.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95628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от 17 декабря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430-ст)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контроля и управления доступом (СКУД) -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овокупность средств контроля и управления доступом, обладающих технической, информационной, программной и эксплуатационной совместимостью.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right="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 полагает довод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1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обоснованным, что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СКУД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нескольких средств контроля, закупка которых произведена, установка производилась в течении всего 2022 года, и окончание всех необходимых работ для ввода в эксплуатацию СКУД и внедрение осуществлено в августе 2023, система оповещения также внедрена в августе 2023 года, 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проверки 17.08.2023 </w:t>
      </w:r>
      <w:r>
        <w:rPr>
          <w:rFonts w:ascii="Times New Roman" w:eastAsia="Times New Roman" w:hAnsi="Times New Roman" w:cs="Times New Roman"/>
          <w:sz w:val="28"/>
          <w:szCs w:val="28"/>
        </w:rPr>
        <w:t>месячный срок,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для актуализации паспорта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 не был.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трудовым договором № 26ф от 26.09.2022 </w:t>
      </w:r>
      <w:r>
        <w:rPr>
          <w:rFonts w:ascii="Times New Roman" w:eastAsia="Times New Roman" w:hAnsi="Times New Roman" w:cs="Times New Roman"/>
          <w:sz w:val="28"/>
          <w:szCs w:val="28"/>
        </w:rPr>
        <w:t>Осъмак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исполняет обязанности директора Сургутского </w:t>
      </w:r>
      <w:r>
        <w:rPr>
          <w:rFonts w:ascii="Times New Roman" w:eastAsia="Times New Roman" w:hAnsi="Times New Roman" w:cs="Times New Roman"/>
          <w:sz w:val="28"/>
          <w:szCs w:val="28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филиалы, в том числе Сургутский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финансово-экономический колледж-филиал федерального государственного образовательного бюджетного учреждения высшего профессионального образования (Сургутский филиал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).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непосредственное руководство деятельностью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</w:t>
      </w:r>
      <w:r>
        <w:rPr>
          <w:rFonts w:ascii="Times New Roman" w:eastAsia="Times New Roman" w:hAnsi="Times New Roman" w:cs="Times New Roman"/>
          <w:sz w:val="28"/>
          <w:szCs w:val="28"/>
        </w:rPr>
        <w:t>есритета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директор.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113 Устава директор филиала в соответствии с уставом, положением о филиале и на основании доверенности выданной Ректором Университета, представляет Университет и филиал в отношении с органами государственной власти, с физическими и юридическими лицами, заключает с ними договоры, контракты, и иные соглашения по вопросам деятельности филиала. Директор филиала несет персональную ответственность за результаты работы возглавляемого им филиала. В соответствии с пунктом 4.3 Положения о филиале, непосредственное управление деятельностью филиала осуществляет директор филиала. В соответствии с пунктом 4.5 Положения о филиале директор филиала, в числе прочего гарантирует соблюдение в деятельности филиала законодательства Российской Федерации. В соответствии с пунктом 2.1, 2.5 должностной инструкции утвержденной 30.12.2022 № 671/52.02-11 директор филиала осуществляет стратегическое планирование и общее руководство деятельностью филиала, контролирует и обеспечивает соблюдение законодательства РФ при осуществлении всех видов деятельности филиала. В соответствии с пунктом 3.12 должностной инструкции директор филиала обязан обеспечивать охрану жизни и здоровья обучающихся, соблюдение прав и свобод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работников филиала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уставленном законодательством РФ порядке. 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ст.2.4 КоАП РФ к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примечании к ст.2.4 КоАП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указано, что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организаций, несут административную ответственность как должностные лица.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должностное лицо - директор Сургутского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силу занимаемой должности и своих должностных обязанностей, не предприняла все зависящие от нее меры по соблюдению исполнения законодательства в области обеспечения антитеррористической защищенности объекта, а, следовательно, выполняя организационно-распорядительные и 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хозяйственные функции руководителя, совершила административное правонарушение в связи с неисполнением и ненадлежащим исполнением своих служебных обязанностей, которые установлены пунктами 2.1, 2.5, 3.12 должностной инструкции, выразившееся в нарушении требовании к антитеррористической защищенности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(территории),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подп. «б, в, г» п. 22, подп. «а, б, 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п. 23, п.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№ 1421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требований к антитеррористической защищенности объекта свидетельствует о нарушении законодательства о противодействии терроризму, создает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 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 Федерального закона от дата N 35-ФЗ "О противодействии терроризму", правовую основу противодействия терроризму составляют </w:t>
      </w:r>
      <w:hyperlink r:id="rId5" w:anchor="/document/10103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Конституция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 марта 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35-ФЗ "О противодействии терроризму" противодействие терроризму в Российской Федерации основывается на принципах обеспечения и защиты, основных прав и свобод человека и гражданина, приоритета защиты прав и законных интересов лиц, подвергающихся террористической опасности, а также минимизация и (или) ликвидация последствий проявлений терроризма.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п.4 ст.3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 марта 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 35-ФЗ "О противодействии терроризму" противодействие терроризму -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выявлению, предупреждению, пресечению, раскрытию и расследованию террористического акта (борьба с терроризмом), минимизации и (или) ликвидации последствий проявлений терроризма.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п.6 ст.3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 марта 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 35-ФЗ "О противодействии терроризму"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4 ч. 2 ст. 5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 марта 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 35-Ф3 "О противодействии терроризму" Правительство РФ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 по правилам </w:t>
      </w:r>
      <w:hyperlink r:id="rId5" w:anchor="/document/12125267/entry/26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26.11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мировой 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0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подтверждается совокупностью доказательств, исследованных в судебном заседании, и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подлежат квалификаци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 ч. 1 ст. 20.35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(территорий), за исключением случаев, предусмотренных </w:t>
      </w:r>
      <w:hyperlink r:id="rId4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</w:t>
      </w:r>
      <w:hyperlink r:id="rId4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</w:t>
      </w:r>
      <w:hyperlink r:id="rId4" w:anchor="/document/76817957/entry/217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прекращения производства по делу и освобождения привлекаемого лица от административной ответственности суд не усматривает.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</w:t>
      </w:r>
      <w:r>
        <w:rPr>
          <w:rFonts w:ascii="Times New Roman" w:eastAsia="Times New Roman" w:hAnsi="Times New Roman" w:cs="Times New Roman"/>
          <w:sz w:val="28"/>
          <w:szCs w:val="28"/>
        </w:rPr>
        <w:t>ном правонарушении, не имеется.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</w:t>
      </w:r>
      <w:r>
        <w:rPr>
          <w:rFonts w:ascii="Times New Roman" w:eastAsia="Times New Roman" w:hAnsi="Times New Roman" w:cs="Times New Roman"/>
          <w:sz w:val="28"/>
          <w:szCs w:val="28"/>
        </w:rPr>
        <w:t>еяния,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нарушителе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отсутствие смягчающих и отягчающих административную ответственность обстоятельств.</w:t>
      </w:r>
    </w:p>
    <w:p>
      <w:pPr>
        <w:widowControl w:val="0"/>
        <w:spacing w:before="0" w:after="0"/>
        <w:ind w:right="17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29.9-29.11 КоАП РФ, мировой судья,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Осьмак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8rplc-1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признать виновной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20.35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69011601173019000140,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0412365400675001452420129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в течение 60 дней, копия квитанции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 .9 ул. Гагарина г. Сургута.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</w:t>
      </w:r>
      <w:r>
        <w:rPr>
          <w:rFonts w:ascii="Times New Roman" w:eastAsia="Times New Roman" w:hAnsi="Times New Roman" w:cs="Times New Roman"/>
          <w:sz w:val="28"/>
          <w:szCs w:val="28"/>
        </w:rPr>
        <w:t>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89rplc-13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0997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80rplc-9">
    <w:name w:val="cat-UserDefined grp-80 rplc-9"/>
    <w:basedOn w:val="DefaultParagraphFont"/>
  </w:style>
  <w:style w:type="character" w:customStyle="1" w:styleId="cat-UserDefinedgrp-81rplc-11">
    <w:name w:val="cat-UserDefined grp-81 rplc-11"/>
    <w:basedOn w:val="DefaultParagraphFont"/>
  </w:style>
  <w:style w:type="character" w:customStyle="1" w:styleId="cat-UserDefinedgrp-82rplc-14">
    <w:name w:val="cat-UserDefined grp-82 rplc-14"/>
    <w:basedOn w:val="DefaultParagraphFont"/>
  </w:style>
  <w:style w:type="character" w:customStyle="1" w:styleId="cat-UserDefinedgrp-83rplc-17">
    <w:name w:val="cat-UserDefined grp-83 rplc-17"/>
    <w:basedOn w:val="DefaultParagraphFont"/>
  </w:style>
  <w:style w:type="character" w:customStyle="1" w:styleId="cat-UserDefinedgrp-84rplc-19">
    <w:name w:val="cat-UserDefined grp-84 rplc-19"/>
    <w:basedOn w:val="DefaultParagraphFont"/>
  </w:style>
  <w:style w:type="character" w:customStyle="1" w:styleId="cat-UserDefinedgrp-85rplc-20">
    <w:name w:val="cat-UserDefined grp-85 rplc-20"/>
    <w:basedOn w:val="DefaultParagraphFont"/>
  </w:style>
  <w:style w:type="character" w:customStyle="1" w:styleId="cat-UserDefinedgrp-86rplc-24">
    <w:name w:val="cat-UserDefined grp-86 rplc-24"/>
    <w:basedOn w:val="DefaultParagraphFont"/>
  </w:style>
  <w:style w:type="character" w:customStyle="1" w:styleId="cat-UserDefinedgrp-80rplc-35">
    <w:name w:val="cat-UserDefined grp-80 rplc-35"/>
    <w:basedOn w:val="DefaultParagraphFont"/>
  </w:style>
  <w:style w:type="character" w:customStyle="1" w:styleId="cat-UserDefinedgrp-81rplc-39">
    <w:name w:val="cat-UserDefined grp-81 rplc-39"/>
    <w:basedOn w:val="DefaultParagraphFont"/>
  </w:style>
  <w:style w:type="character" w:customStyle="1" w:styleId="cat-UserDefinedgrp-80rplc-41">
    <w:name w:val="cat-UserDefined grp-80 rplc-41"/>
    <w:basedOn w:val="DefaultParagraphFont"/>
  </w:style>
  <w:style w:type="character" w:customStyle="1" w:styleId="cat-UserDefinedgrp-80rplc-43">
    <w:name w:val="cat-UserDefined grp-80 rplc-43"/>
    <w:basedOn w:val="DefaultParagraphFont"/>
  </w:style>
  <w:style w:type="character" w:customStyle="1" w:styleId="cat-UserDefinedgrp-80rplc-51">
    <w:name w:val="cat-UserDefined grp-80 rplc-51"/>
    <w:basedOn w:val="DefaultParagraphFont"/>
  </w:style>
  <w:style w:type="character" w:customStyle="1" w:styleId="cat-UserDefinedgrp-82rplc-60">
    <w:name w:val="cat-UserDefined grp-82 rplc-60"/>
    <w:basedOn w:val="DefaultParagraphFont"/>
  </w:style>
  <w:style w:type="character" w:customStyle="1" w:styleId="cat-UserDefinedgrp-87rplc-80">
    <w:name w:val="cat-UserDefined grp-87 rplc-80"/>
    <w:basedOn w:val="DefaultParagraphFont"/>
  </w:style>
  <w:style w:type="character" w:customStyle="1" w:styleId="cat-UserDefinedgrp-80rplc-82">
    <w:name w:val="cat-UserDefined grp-80 rplc-82"/>
    <w:basedOn w:val="DefaultParagraphFont"/>
  </w:style>
  <w:style w:type="character" w:customStyle="1" w:styleId="cat-UserDefinedgrp-80rplc-84">
    <w:name w:val="cat-UserDefined grp-80 rplc-84"/>
    <w:basedOn w:val="DefaultParagraphFont"/>
  </w:style>
  <w:style w:type="character" w:customStyle="1" w:styleId="cat-UserDefinedgrp-80rplc-92">
    <w:name w:val="cat-UserDefined grp-80 rplc-92"/>
    <w:basedOn w:val="DefaultParagraphFont"/>
  </w:style>
  <w:style w:type="character" w:customStyle="1" w:styleId="cat-UserDefinedgrp-80rplc-110">
    <w:name w:val="cat-UserDefined grp-80 rplc-110"/>
    <w:basedOn w:val="DefaultParagraphFont"/>
  </w:style>
  <w:style w:type="character" w:customStyle="1" w:styleId="cat-UserDefinedgrp-80rplc-116">
    <w:name w:val="cat-UserDefined grp-80 rplc-116"/>
    <w:basedOn w:val="DefaultParagraphFont"/>
  </w:style>
  <w:style w:type="character" w:customStyle="1" w:styleId="cat-UserDefinedgrp-80rplc-119">
    <w:name w:val="cat-UserDefined grp-80 rplc-119"/>
    <w:basedOn w:val="DefaultParagraphFont"/>
  </w:style>
  <w:style w:type="character" w:customStyle="1" w:styleId="cat-UserDefinedgrp-80rplc-125">
    <w:name w:val="cat-UserDefined grp-80 rplc-125"/>
    <w:basedOn w:val="DefaultParagraphFont"/>
  </w:style>
  <w:style w:type="character" w:customStyle="1" w:styleId="cat-UserDefinedgrp-88rplc-127">
    <w:name w:val="cat-UserDefined grp-88 rplc-127"/>
    <w:basedOn w:val="DefaultParagraphFont"/>
  </w:style>
  <w:style w:type="character" w:customStyle="1" w:styleId="cat-UserDefinedgrp-89rplc-139">
    <w:name w:val="cat-UserDefined grp-89 rplc-13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6A-547C-48A8-B86A-D9DBFCFC408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